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2" w:type="dxa"/>
        <w:tblInd w:w="108" w:type="dxa"/>
        <w:tblLook w:val="01E0" w:firstRow="1" w:lastRow="1" w:firstColumn="1" w:lastColumn="1" w:noHBand="0" w:noVBand="0"/>
      </w:tblPr>
      <w:tblGrid>
        <w:gridCol w:w="3333"/>
        <w:gridCol w:w="6409"/>
      </w:tblGrid>
      <w:tr w:rsidR="00974C3A" w:rsidRPr="0049371E" w:rsidTr="004568AA">
        <w:trPr>
          <w:trHeight w:val="1464"/>
        </w:trPr>
        <w:tc>
          <w:tcPr>
            <w:tcW w:w="3333" w:type="dxa"/>
          </w:tcPr>
          <w:p w:rsidR="00974C3A" w:rsidRPr="0049371E" w:rsidRDefault="00974C3A" w:rsidP="004568AA">
            <w:pPr>
              <w:tabs>
                <w:tab w:val="center" w:pos="2166"/>
              </w:tabs>
              <w:spacing w:after="0" w:line="240" w:lineRule="auto"/>
              <w:jc w:val="center"/>
              <w:rPr>
                <w:rFonts w:ascii="Times New Roman" w:hAnsi="Times New Roman"/>
                <w:sz w:val="26"/>
                <w:szCs w:val="26"/>
              </w:rPr>
            </w:pPr>
            <w:r w:rsidRPr="0049371E">
              <w:rPr>
                <w:rFonts w:ascii="Times New Roman" w:hAnsi="Times New Roman"/>
                <w:sz w:val="26"/>
                <w:szCs w:val="26"/>
              </w:rPr>
              <w:t>UBND TỈNH TÂY NINH</w:t>
            </w:r>
          </w:p>
          <w:p w:rsidR="00974C3A" w:rsidRPr="0049371E" w:rsidRDefault="00974C3A" w:rsidP="004568AA">
            <w:pPr>
              <w:tabs>
                <w:tab w:val="center" w:pos="2166"/>
              </w:tabs>
              <w:spacing w:after="0" w:line="240" w:lineRule="auto"/>
              <w:jc w:val="center"/>
              <w:rPr>
                <w:rFonts w:ascii="Times New Roman" w:hAnsi="Times New Roman"/>
                <w:b/>
                <w:sz w:val="26"/>
                <w:szCs w:val="26"/>
              </w:rPr>
            </w:pPr>
            <w:r w:rsidRPr="0049371E">
              <w:rPr>
                <w:rFonts w:ascii="Times New Roman" w:hAnsi="Times New Roman"/>
                <w:b/>
                <w:sz w:val="26"/>
                <w:szCs w:val="26"/>
              </w:rPr>
              <w:t xml:space="preserve">BQL VƯỜN QUỐC GIA </w:t>
            </w:r>
          </w:p>
          <w:p w:rsidR="00974C3A" w:rsidRPr="0049371E" w:rsidRDefault="00974C3A" w:rsidP="0094431C">
            <w:pPr>
              <w:tabs>
                <w:tab w:val="center" w:pos="2166"/>
              </w:tabs>
              <w:spacing w:after="120" w:line="240" w:lineRule="auto"/>
              <w:jc w:val="center"/>
              <w:rPr>
                <w:rFonts w:ascii="Times New Roman" w:hAnsi="Times New Roman"/>
                <w:b/>
                <w:sz w:val="26"/>
                <w:szCs w:val="26"/>
              </w:rPr>
            </w:pPr>
            <w:r w:rsidRPr="0049371E">
              <w:rPr>
                <w:rFonts w:ascii="Times New Roman" w:hAnsi="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617220</wp:posOffset>
                      </wp:positionH>
                      <wp:positionV relativeFrom="paragraph">
                        <wp:posOffset>185420</wp:posOffset>
                      </wp:positionV>
                      <wp:extent cx="571500" cy="0"/>
                      <wp:effectExtent l="5080" t="13335" r="13970"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8867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14.6pt" to="93.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v8HAIAADU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"/>
                  </w:pict>
                </mc:Fallback>
              </mc:AlternateContent>
            </w:r>
            <w:r w:rsidRPr="0049371E">
              <w:rPr>
                <w:rFonts w:ascii="Times New Roman" w:hAnsi="Times New Roman"/>
                <w:b/>
                <w:sz w:val="26"/>
                <w:szCs w:val="26"/>
              </w:rPr>
              <w:t>LÒ GÒ – XA MÁT</w:t>
            </w:r>
          </w:p>
          <w:p w:rsidR="00974C3A" w:rsidRPr="0049371E" w:rsidRDefault="00974C3A" w:rsidP="0094431C">
            <w:pPr>
              <w:tabs>
                <w:tab w:val="center" w:pos="2166"/>
              </w:tabs>
              <w:spacing w:after="120" w:line="240" w:lineRule="auto"/>
              <w:rPr>
                <w:rFonts w:ascii="Times New Roman" w:hAnsi="Times New Roman"/>
                <w:sz w:val="26"/>
                <w:szCs w:val="26"/>
              </w:rPr>
            </w:pPr>
            <w:r w:rsidRPr="0049371E">
              <w:rPr>
                <w:rFonts w:ascii="Times New Roman" w:hAnsi="Times New Roman"/>
                <w:sz w:val="26"/>
                <w:szCs w:val="26"/>
              </w:rPr>
              <w:t xml:space="preserve">         Số:       /BC-VQG</w:t>
            </w:r>
          </w:p>
        </w:tc>
        <w:tc>
          <w:tcPr>
            <w:tcW w:w="6409" w:type="dxa"/>
          </w:tcPr>
          <w:p w:rsidR="00974C3A" w:rsidRPr="0049371E" w:rsidRDefault="00974C3A" w:rsidP="004568AA">
            <w:pPr>
              <w:tabs>
                <w:tab w:val="center" w:pos="3148"/>
                <w:tab w:val="center" w:pos="3181"/>
              </w:tabs>
              <w:spacing w:after="0" w:line="240" w:lineRule="auto"/>
              <w:jc w:val="center"/>
              <w:rPr>
                <w:rFonts w:ascii="Times New Roman" w:hAnsi="Times New Roman"/>
                <w:b/>
                <w:sz w:val="26"/>
                <w:szCs w:val="26"/>
              </w:rPr>
            </w:pPr>
            <w:r w:rsidRPr="0049371E">
              <w:rPr>
                <w:rFonts w:ascii="Times New Roman" w:hAnsi="Times New Roman"/>
                <w:b/>
                <w:sz w:val="26"/>
                <w:szCs w:val="26"/>
              </w:rPr>
              <w:t xml:space="preserve">     CỘNG HOÀ XÃ HỘI CHỦ NGHĨA VIỆT NAM</w:t>
            </w:r>
          </w:p>
          <w:p w:rsidR="00974C3A" w:rsidRPr="0049371E" w:rsidRDefault="00974C3A" w:rsidP="004568AA">
            <w:pPr>
              <w:tabs>
                <w:tab w:val="center" w:pos="3148"/>
                <w:tab w:val="center" w:pos="3181"/>
              </w:tabs>
              <w:spacing w:after="0" w:line="240" w:lineRule="auto"/>
              <w:jc w:val="center"/>
              <w:rPr>
                <w:rFonts w:ascii="Times New Roman" w:hAnsi="Times New Roman"/>
                <w:b/>
                <w:sz w:val="28"/>
                <w:szCs w:val="28"/>
              </w:rPr>
            </w:pPr>
            <w:r w:rsidRPr="0049371E">
              <w:rPr>
                <w:rFonts w:ascii="Times New Roman" w:hAnsi="Times New Roman"/>
                <w:b/>
                <w:sz w:val="26"/>
                <w:szCs w:val="26"/>
              </w:rPr>
              <w:t xml:space="preserve">   </w:t>
            </w:r>
            <w:r w:rsidRPr="0049371E">
              <w:rPr>
                <w:rFonts w:ascii="Times New Roman" w:hAnsi="Times New Roman"/>
                <w:b/>
                <w:sz w:val="28"/>
                <w:szCs w:val="28"/>
              </w:rPr>
              <w:t>Độc lập - Tự do - Hạnh phúc</w:t>
            </w:r>
          </w:p>
          <w:p w:rsidR="00974C3A" w:rsidRPr="0049371E" w:rsidRDefault="00974C3A" w:rsidP="0094431C">
            <w:pPr>
              <w:tabs>
                <w:tab w:val="center" w:pos="3148"/>
                <w:tab w:val="center" w:pos="3181"/>
              </w:tabs>
              <w:spacing w:after="120" w:line="240" w:lineRule="auto"/>
              <w:jc w:val="center"/>
              <w:rPr>
                <w:rFonts w:ascii="Times New Roman" w:hAnsi="Times New Roman"/>
                <w:b/>
                <w:sz w:val="26"/>
                <w:szCs w:val="26"/>
                <w:u w:val="single"/>
              </w:rPr>
            </w:pPr>
            <w:r w:rsidRPr="0049371E">
              <w:rPr>
                <w:rFonts w:ascii="Times New Roman" w:hAnsi="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939165</wp:posOffset>
                      </wp:positionH>
                      <wp:positionV relativeFrom="paragraph">
                        <wp:posOffset>29845</wp:posOffset>
                      </wp:positionV>
                      <wp:extent cx="2195195" cy="0"/>
                      <wp:effectExtent l="5080" t="5715" r="9525"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A7128"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2.35pt" to="246.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"/>
                  </w:pict>
                </mc:Fallback>
              </mc:AlternateContent>
            </w:r>
          </w:p>
          <w:p w:rsidR="00974C3A" w:rsidRDefault="00C374E0" w:rsidP="008026DB">
            <w:pPr>
              <w:tabs>
                <w:tab w:val="center" w:pos="3148"/>
                <w:tab w:val="center" w:pos="3181"/>
              </w:tabs>
              <w:spacing w:after="120" w:line="240" w:lineRule="auto"/>
              <w:jc w:val="center"/>
              <w:rPr>
                <w:rFonts w:ascii="Times New Roman" w:hAnsi="Times New Roman"/>
                <w:i/>
                <w:sz w:val="26"/>
                <w:szCs w:val="26"/>
              </w:rPr>
            </w:pPr>
            <w:r>
              <w:rPr>
                <w:rFonts w:ascii="Times New Roman" w:hAnsi="Times New Roman"/>
                <w:i/>
                <w:sz w:val="26"/>
                <w:szCs w:val="26"/>
              </w:rPr>
              <w:t xml:space="preserve">  Tây Ninh, ngày       tháng </w:t>
            </w:r>
            <w:r w:rsidR="0000153B">
              <w:rPr>
                <w:rFonts w:ascii="Times New Roman" w:hAnsi="Times New Roman"/>
                <w:i/>
                <w:sz w:val="26"/>
                <w:szCs w:val="26"/>
              </w:rPr>
              <w:t>3</w:t>
            </w:r>
            <w:r w:rsidR="00C76237">
              <w:rPr>
                <w:rFonts w:ascii="Times New Roman" w:hAnsi="Times New Roman"/>
                <w:i/>
                <w:sz w:val="26"/>
                <w:szCs w:val="26"/>
              </w:rPr>
              <w:t xml:space="preserve"> </w:t>
            </w:r>
            <w:r w:rsidR="00974C3A" w:rsidRPr="0049371E">
              <w:rPr>
                <w:rFonts w:ascii="Times New Roman" w:hAnsi="Times New Roman"/>
                <w:i/>
                <w:sz w:val="26"/>
                <w:szCs w:val="26"/>
              </w:rPr>
              <w:t>năm 2022</w:t>
            </w:r>
          </w:p>
          <w:p w:rsidR="0000153B" w:rsidRPr="0049371E" w:rsidRDefault="0000153B" w:rsidP="008026DB">
            <w:pPr>
              <w:tabs>
                <w:tab w:val="center" w:pos="3148"/>
                <w:tab w:val="center" w:pos="3181"/>
              </w:tabs>
              <w:spacing w:after="120" w:line="240" w:lineRule="auto"/>
              <w:jc w:val="center"/>
              <w:rPr>
                <w:rFonts w:ascii="Times New Roman" w:hAnsi="Times New Roman"/>
                <w:i/>
                <w:sz w:val="26"/>
                <w:szCs w:val="26"/>
              </w:rPr>
            </w:pPr>
          </w:p>
        </w:tc>
      </w:tr>
    </w:tbl>
    <w:p w:rsidR="0000153B" w:rsidRPr="00166ACF" w:rsidRDefault="0000153B" w:rsidP="0000153B">
      <w:pPr>
        <w:spacing w:after="120" w:line="240" w:lineRule="auto"/>
        <w:jc w:val="center"/>
        <w:rPr>
          <w:rFonts w:ascii="Times New Roman" w:hAnsi="Times New Roman"/>
          <w:b/>
          <w:sz w:val="28"/>
          <w:szCs w:val="28"/>
        </w:rPr>
      </w:pPr>
      <w:r w:rsidRPr="00166ACF">
        <w:rPr>
          <w:rFonts w:ascii="Times New Roman" w:hAnsi="Times New Roman"/>
          <w:b/>
          <w:sz w:val="28"/>
          <w:szCs w:val="28"/>
        </w:rPr>
        <w:t>BÁO CÁO</w:t>
      </w:r>
    </w:p>
    <w:p w:rsidR="0000153B" w:rsidRPr="00166ACF" w:rsidRDefault="0000153B" w:rsidP="0000153B">
      <w:pPr>
        <w:spacing w:after="0" w:line="240" w:lineRule="auto"/>
        <w:jc w:val="center"/>
        <w:rPr>
          <w:rFonts w:ascii="Times New Roman" w:hAnsi="Times New Roman"/>
          <w:b/>
          <w:sz w:val="28"/>
          <w:szCs w:val="28"/>
        </w:rPr>
      </w:pPr>
      <w:r w:rsidRPr="00166ACF">
        <w:rPr>
          <w:rFonts w:ascii="Times New Roman" w:hAnsi="Times New Roman"/>
          <w:b/>
          <w:sz w:val="28"/>
          <w:szCs w:val="28"/>
        </w:rPr>
        <w:t xml:space="preserve">Tình hình công khai tài chính các dự án đầu tư xây dựng cơ bản </w:t>
      </w:r>
    </w:p>
    <w:p w:rsidR="0000153B" w:rsidRPr="00166ACF" w:rsidRDefault="0000153B" w:rsidP="0000153B">
      <w:pPr>
        <w:spacing w:after="0" w:line="240" w:lineRule="auto"/>
        <w:jc w:val="center"/>
        <w:rPr>
          <w:rFonts w:ascii="Times New Roman" w:hAnsi="Times New Roman"/>
          <w:b/>
          <w:sz w:val="28"/>
          <w:szCs w:val="28"/>
        </w:rPr>
      </w:pPr>
      <w:r w:rsidRPr="00166ACF">
        <w:rPr>
          <w:rFonts w:ascii="Times New Roman" w:hAnsi="Times New Roman"/>
          <w:b/>
          <w:sz w:val="28"/>
          <w:szCs w:val="28"/>
        </w:rPr>
        <w:t>có sử dụng vốn ngân sách nhà nước năm 2020 của</w:t>
      </w:r>
    </w:p>
    <w:p w:rsidR="0000153B" w:rsidRPr="00166ACF" w:rsidRDefault="0000153B" w:rsidP="0000153B">
      <w:pPr>
        <w:spacing w:after="0" w:line="240" w:lineRule="auto"/>
        <w:jc w:val="center"/>
        <w:rPr>
          <w:rFonts w:ascii="Times New Roman" w:hAnsi="Times New Roman"/>
          <w:b/>
          <w:sz w:val="28"/>
          <w:szCs w:val="28"/>
        </w:rPr>
      </w:pPr>
      <w:r w:rsidRPr="00166ACF">
        <w:rPr>
          <w:rFonts w:ascii="Times New Roman" w:hAnsi="Times New Roman"/>
          <w:b/>
          <w:sz w:val="28"/>
          <w:szCs w:val="28"/>
        </w:rPr>
        <w:t xml:space="preserve"> Ban quản lý Vườn quốc gia Lò Gò – Xa Mát</w:t>
      </w:r>
    </w:p>
    <w:p w:rsidR="0000153B" w:rsidRDefault="0000153B" w:rsidP="0000153B">
      <w:pPr>
        <w:jc w:val="center"/>
        <w:rPr>
          <w:rFonts w:ascii="Times New Roman" w:hAnsi="Times New Roman"/>
          <w:sz w:val="28"/>
          <w:szCs w:val="28"/>
          <w:lang w:val="nb-NO"/>
        </w:rPr>
      </w:pPr>
      <w:r w:rsidRPr="0000153B">
        <w:rPr>
          <w:rFonts w:ascii="Times New Roman" w:hAnsi="Times New Roman"/>
          <w:b/>
          <w:noProof/>
          <w:sz w:val="28"/>
          <w:szCs w:val="28"/>
        </w:rPr>
        <mc:AlternateContent>
          <mc:Choice Requires="wps">
            <w:drawing>
              <wp:anchor distT="0" distB="0" distL="114300" distR="114300" simplePos="0" relativeHeight="251662336" behindDoc="0" locked="0" layoutInCell="1" allowOverlap="1" wp14:anchorId="1DA10547" wp14:editId="45542F3D">
                <wp:simplePos x="0" y="0"/>
                <wp:positionH relativeFrom="column">
                  <wp:posOffset>2253615</wp:posOffset>
                </wp:positionH>
                <wp:positionV relativeFrom="paragraph">
                  <wp:posOffset>34925</wp:posOffset>
                </wp:positionV>
                <wp:extent cx="1771650" cy="0"/>
                <wp:effectExtent l="0" t="0"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E20C2" id="_x0000_t32" coordsize="21600,21600" o:spt="32" o:oned="t" path="m,l21600,21600e" filled="f">
                <v:path arrowok="t" fillok="f" o:connecttype="none"/>
                <o:lock v:ext="edit" shapetype="t"/>
              </v:shapetype>
              <v:shape id="Straight Arrow Connector 5" o:spid="_x0000_s1026" type="#_x0000_t32" style="position:absolute;margin-left:177.45pt;margin-top:2.75pt;width:139.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Dt/JAIAAEo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"/>
            </w:pict>
          </mc:Fallback>
        </mc:AlternateContent>
      </w:r>
    </w:p>
    <w:p w:rsidR="0000153B" w:rsidRPr="003142A7" w:rsidRDefault="0000153B" w:rsidP="00E119F2">
      <w:pPr>
        <w:spacing w:after="120" w:line="240" w:lineRule="auto"/>
        <w:ind w:firstLine="567"/>
        <w:jc w:val="both"/>
        <w:textAlignment w:val="top"/>
        <w:rPr>
          <w:rFonts w:ascii="Times New Roman" w:hAnsi="Times New Roman"/>
          <w:sz w:val="28"/>
          <w:szCs w:val="28"/>
          <w:lang w:val="nb-NO"/>
        </w:rPr>
      </w:pPr>
      <w:r w:rsidRPr="003142A7">
        <w:rPr>
          <w:rFonts w:ascii="Times New Roman" w:hAnsi="Times New Roman"/>
          <w:sz w:val="28"/>
          <w:szCs w:val="28"/>
          <w:lang w:val="nb-NO"/>
        </w:rPr>
        <w:t>Căn cứ Thông tư số 10/2005/TT-BTC ngày 02/02/2005 của Bộ Tài chính về việc hướng dẫn thực hiện quy chế công khai tài chính đối với việc phân bổ, quản lý sử dụng vốn đầu tư xây dựng cơ bản thuộc nguồn vốn ngân sách nhà nước;</w:t>
      </w:r>
    </w:p>
    <w:p w:rsidR="0000153B" w:rsidRPr="003142A7" w:rsidRDefault="0000153B" w:rsidP="00E119F2">
      <w:pPr>
        <w:spacing w:after="120" w:line="240" w:lineRule="auto"/>
        <w:ind w:firstLine="567"/>
        <w:jc w:val="both"/>
        <w:textAlignment w:val="top"/>
        <w:rPr>
          <w:rFonts w:ascii="Times New Roman" w:hAnsi="Times New Roman"/>
          <w:sz w:val="28"/>
          <w:szCs w:val="28"/>
          <w:lang w:val="nb-NO"/>
        </w:rPr>
      </w:pPr>
      <w:r w:rsidRPr="003142A7">
        <w:rPr>
          <w:rFonts w:ascii="Times New Roman" w:hAnsi="Times New Roman"/>
          <w:sz w:val="28"/>
          <w:szCs w:val="28"/>
          <w:lang w:val="nb-NO"/>
        </w:rPr>
        <w:t>Căn cứ Công văn 542/STC-TCĐT ngày 03/3/2020 của Sở Tài chính về việc công khai tài chính các dự án đầu tư xây dựng cơ bản có sử dụng vốn ngân sách nhà nướ</w:t>
      </w:r>
      <w:r w:rsidR="00C374E0">
        <w:rPr>
          <w:rFonts w:ascii="Times New Roman" w:hAnsi="Times New Roman"/>
          <w:sz w:val="28"/>
          <w:szCs w:val="28"/>
          <w:lang w:val="nb-NO"/>
        </w:rPr>
        <w:t>c;</w:t>
      </w:r>
    </w:p>
    <w:p w:rsidR="0000153B" w:rsidRPr="003142A7" w:rsidRDefault="0000153B" w:rsidP="00E119F2">
      <w:pPr>
        <w:spacing w:after="120" w:line="240" w:lineRule="auto"/>
        <w:ind w:firstLine="567"/>
        <w:jc w:val="both"/>
        <w:rPr>
          <w:rFonts w:ascii="Times New Roman" w:hAnsi="Times New Roman"/>
          <w:sz w:val="28"/>
          <w:szCs w:val="28"/>
          <w:lang w:val="nb-NO"/>
        </w:rPr>
      </w:pPr>
      <w:r w:rsidRPr="003142A7">
        <w:rPr>
          <w:rFonts w:ascii="Times New Roman" w:hAnsi="Times New Roman"/>
          <w:sz w:val="28"/>
          <w:szCs w:val="28"/>
          <w:lang w:val="nb-NO"/>
        </w:rPr>
        <w:t>Căn cứ Quyết định số 1098/QĐ-UBND ngày 01 tháng 6 năm 2020 của Ủy ban nhân dân tỉnh Tây Ninh về việc thành lập Vườn quốc gia Lò Gò – Xa Mát trên cơ sở sáp nhập Khu rừng Văn hóa Lịch sử Chàng Riệc vào Vườn quố</w:t>
      </w:r>
      <w:r w:rsidR="00C374E0">
        <w:rPr>
          <w:rFonts w:ascii="Times New Roman" w:hAnsi="Times New Roman"/>
          <w:sz w:val="28"/>
          <w:szCs w:val="28"/>
          <w:lang w:val="nb-NO"/>
        </w:rPr>
        <w:t>c gia Lò Gò – Xa Mát.</w:t>
      </w:r>
    </w:p>
    <w:p w:rsidR="00C374E0" w:rsidRDefault="0000153B" w:rsidP="00E119F2">
      <w:pPr>
        <w:spacing w:after="120" w:line="240" w:lineRule="auto"/>
        <w:ind w:firstLine="567"/>
        <w:jc w:val="both"/>
        <w:rPr>
          <w:rFonts w:ascii="Times New Roman" w:hAnsi="Times New Roman"/>
          <w:bCs/>
          <w:color w:val="000000"/>
          <w:sz w:val="28"/>
          <w:szCs w:val="28"/>
        </w:rPr>
      </w:pPr>
      <w:r w:rsidRPr="00E119F2">
        <w:rPr>
          <w:rFonts w:ascii="Times New Roman" w:hAnsi="Times New Roman"/>
          <w:bCs/>
          <w:color w:val="000000"/>
          <w:sz w:val="28"/>
          <w:szCs w:val="28"/>
        </w:rPr>
        <w:t xml:space="preserve">Ban quản lý Vườn quốc gia Lò Gò - Xa Mát báo cáo như sau: </w:t>
      </w:r>
    </w:p>
    <w:p w:rsidR="0000153B" w:rsidRPr="00C374E0" w:rsidRDefault="00C374E0" w:rsidP="00C374E0">
      <w:pPr>
        <w:spacing w:after="120" w:line="240" w:lineRule="auto"/>
        <w:ind w:firstLine="567"/>
        <w:jc w:val="both"/>
        <w:rPr>
          <w:rFonts w:ascii="Times New Roman" w:hAnsi="Times New Roman"/>
          <w:sz w:val="28"/>
          <w:szCs w:val="28"/>
        </w:rPr>
      </w:pPr>
      <w:r w:rsidRPr="00E119F2">
        <w:rPr>
          <w:rFonts w:ascii="Times New Roman" w:hAnsi="Times New Roman"/>
          <w:bCs/>
          <w:color w:val="000000"/>
          <w:sz w:val="28"/>
          <w:szCs w:val="28"/>
        </w:rPr>
        <w:t xml:space="preserve">Từ </w:t>
      </w:r>
      <w:r w:rsidR="0000153B" w:rsidRPr="00E119F2">
        <w:rPr>
          <w:rFonts w:ascii="Times New Roman" w:hAnsi="Times New Roman"/>
          <w:bCs/>
          <w:color w:val="000000"/>
          <w:sz w:val="28"/>
          <w:szCs w:val="28"/>
        </w:rPr>
        <w:t>năm 2015 các dự án đầu tư XDCB đã được chuyển sang Ban quản lý Dự án đầu tư và Xây dựng Tây Ninh làm chủ đầ</w:t>
      </w:r>
      <w:r>
        <w:rPr>
          <w:rFonts w:ascii="Times New Roman" w:hAnsi="Times New Roman"/>
          <w:bCs/>
          <w:color w:val="000000"/>
          <w:sz w:val="28"/>
          <w:szCs w:val="28"/>
        </w:rPr>
        <w:t>u tư,</w:t>
      </w:r>
      <w:r w:rsidR="0000153B" w:rsidRPr="00E119F2">
        <w:rPr>
          <w:rFonts w:ascii="Times New Roman" w:hAnsi="Times New Roman"/>
          <w:bCs/>
          <w:color w:val="000000"/>
          <w:sz w:val="28"/>
          <w:szCs w:val="28"/>
        </w:rPr>
        <w:t xml:space="preserve"> Ban quản lý Vườn quốc gia Lò Gò – Xa Mát chỉ làm chủ đầu tư </w:t>
      </w:r>
      <w:r w:rsidR="0000153B" w:rsidRPr="00E119F2">
        <w:rPr>
          <w:rFonts w:ascii="Times New Roman" w:hAnsi="Times New Roman"/>
          <w:sz w:val="28"/>
          <w:szCs w:val="28"/>
        </w:rPr>
        <w:t>dự án Bảo vệ và phát triển rừ</w:t>
      </w:r>
      <w:r>
        <w:rPr>
          <w:rFonts w:ascii="Times New Roman" w:hAnsi="Times New Roman"/>
          <w:sz w:val="28"/>
          <w:szCs w:val="28"/>
        </w:rPr>
        <w:t xml:space="preserve">ng. </w:t>
      </w:r>
      <w:r w:rsidRPr="00E119F2">
        <w:rPr>
          <w:rFonts w:ascii="Times New Roman" w:hAnsi="Times New Roman"/>
          <w:sz w:val="28"/>
          <w:szCs w:val="28"/>
        </w:rPr>
        <w:t xml:space="preserve">Tình </w:t>
      </w:r>
      <w:r w:rsidR="0000153B" w:rsidRPr="00E119F2">
        <w:rPr>
          <w:rFonts w:ascii="Times New Roman" w:hAnsi="Times New Roman"/>
          <w:sz w:val="28"/>
          <w:szCs w:val="28"/>
        </w:rPr>
        <w:t>hình thực hiện năm 2020, cụ thể</w:t>
      </w:r>
      <w:r>
        <w:rPr>
          <w:rFonts w:ascii="Times New Roman" w:hAnsi="Times New Roman"/>
          <w:sz w:val="28"/>
          <w:szCs w:val="28"/>
        </w:rPr>
        <w:t xml:space="preserve"> như sau:</w:t>
      </w:r>
    </w:p>
    <w:p w:rsidR="0000153B" w:rsidRPr="00E119F2" w:rsidRDefault="0000153B" w:rsidP="00E119F2">
      <w:pPr>
        <w:tabs>
          <w:tab w:val="center" w:pos="5797"/>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w:t>
      </w:r>
      <w:r w:rsidRPr="00E119F2">
        <w:rPr>
          <w:rFonts w:ascii="Times New Roman" w:hAnsi="Times New Roman"/>
          <w:sz w:val="28"/>
          <w:szCs w:val="28"/>
        </w:rPr>
        <w:t xml:space="preserve"> Dự án Bảo vệ và phát triển rừng Vườn quốc gia Lò Gò – Xa Mát</w:t>
      </w:r>
    </w:p>
    <w:p w:rsidR="0000153B" w:rsidRPr="00E119F2" w:rsidRDefault="0000153B" w:rsidP="00E119F2">
      <w:pPr>
        <w:tabs>
          <w:tab w:val="center" w:pos="5797"/>
          <w:tab w:val="right" w:pos="6521"/>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 Kế hoạch vốn 2019 kéo dài năm 2020: 430.547.888 đồng.</w:t>
      </w:r>
    </w:p>
    <w:p w:rsidR="0000153B" w:rsidRPr="00E119F2" w:rsidRDefault="0000153B" w:rsidP="00E119F2">
      <w:pPr>
        <w:tabs>
          <w:tab w:val="center" w:pos="5797"/>
          <w:tab w:val="right" w:pos="6521"/>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 xml:space="preserve">- Vốn đã thanh toán năm 2020: </w:t>
      </w:r>
      <w:r w:rsidRPr="00E119F2">
        <w:rPr>
          <w:rFonts w:ascii="Times New Roman" w:hAnsi="Times New Roman"/>
          <w:sz w:val="28"/>
          <w:szCs w:val="28"/>
        </w:rPr>
        <w:t>93.488.424 đồng.</w:t>
      </w:r>
    </w:p>
    <w:p w:rsidR="0000153B" w:rsidRPr="00E119F2" w:rsidRDefault="0000153B" w:rsidP="00E119F2">
      <w:pPr>
        <w:tabs>
          <w:tab w:val="center" w:pos="5797"/>
          <w:tab w:val="right" w:pos="6521"/>
        </w:tabs>
        <w:spacing w:after="120" w:line="240" w:lineRule="auto"/>
        <w:ind w:firstLine="567"/>
        <w:jc w:val="both"/>
        <w:rPr>
          <w:rFonts w:ascii="Times New Roman" w:hAnsi="Times New Roman"/>
          <w:sz w:val="28"/>
          <w:szCs w:val="28"/>
        </w:rPr>
      </w:pPr>
      <w:r w:rsidRPr="00E119F2">
        <w:rPr>
          <w:rFonts w:ascii="Times New Roman" w:hAnsi="Times New Roman"/>
          <w:bCs/>
          <w:sz w:val="28"/>
          <w:szCs w:val="28"/>
        </w:rPr>
        <w:t xml:space="preserve">- Vốn còn lại hủy: </w:t>
      </w:r>
      <w:r w:rsidRPr="00E119F2">
        <w:rPr>
          <w:rFonts w:ascii="Times New Roman" w:hAnsi="Times New Roman"/>
          <w:sz w:val="28"/>
          <w:szCs w:val="28"/>
        </w:rPr>
        <w:t>337.059.464 đồng</w:t>
      </w:r>
    </w:p>
    <w:p w:rsidR="0000153B" w:rsidRPr="00E119F2" w:rsidRDefault="0000153B" w:rsidP="00E119F2">
      <w:pPr>
        <w:tabs>
          <w:tab w:val="center" w:pos="5797"/>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w:t>
      </w:r>
      <w:r w:rsidRPr="00E119F2">
        <w:rPr>
          <w:rFonts w:ascii="Times New Roman" w:hAnsi="Times New Roman"/>
          <w:sz w:val="28"/>
          <w:szCs w:val="28"/>
        </w:rPr>
        <w:t xml:space="preserve"> Dự án Bảo vệ và phát triển rừng Khu rừng Văn Hóa Lịch Sử Chàng Riệc</w:t>
      </w:r>
    </w:p>
    <w:p w:rsidR="0000153B" w:rsidRPr="00E119F2" w:rsidRDefault="0000153B" w:rsidP="00E119F2">
      <w:pPr>
        <w:tabs>
          <w:tab w:val="center" w:pos="5797"/>
          <w:tab w:val="right" w:pos="6521"/>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 Kế hoạch vốn 2019 kéo dài năm 2020: 1.078.979.804 đồng.</w:t>
      </w:r>
    </w:p>
    <w:p w:rsidR="0000153B" w:rsidRPr="00E119F2" w:rsidRDefault="0000153B" w:rsidP="00E119F2">
      <w:pPr>
        <w:tabs>
          <w:tab w:val="center" w:pos="5797"/>
          <w:tab w:val="right" w:pos="6521"/>
        </w:tabs>
        <w:spacing w:after="120" w:line="240" w:lineRule="auto"/>
        <w:ind w:firstLine="567"/>
        <w:jc w:val="both"/>
        <w:rPr>
          <w:rFonts w:ascii="Times New Roman" w:hAnsi="Times New Roman"/>
          <w:bCs/>
          <w:sz w:val="28"/>
          <w:szCs w:val="28"/>
        </w:rPr>
      </w:pPr>
      <w:r w:rsidRPr="00E119F2">
        <w:rPr>
          <w:rFonts w:ascii="Times New Roman" w:hAnsi="Times New Roman"/>
          <w:bCs/>
          <w:sz w:val="28"/>
          <w:szCs w:val="28"/>
        </w:rPr>
        <w:t xml:space="preserve">- Vốn đã thanh toán năm 2020: </w:t>
      </w:r>
      <w:r w:rsidRPr="00E119F2">
        <w:rPr>
          <w:rFonts w:ascii="Times New Roman" w:hAnsi="Times New Roman"/>
          <w:sz w:val="28"/>
          <w:szCs w:val="28"/>
        </w:rPr>
        <w:t>150.873.185 đồng.</w:t>
      </w:r>
    </w:p>
    <w:p w:rsidR="0000153B" w:rsidRPr="00E119F2" w:rsidRDefault="0000153B" w:rsidP="00E119F2">
      <w:pPr>
        <w:tabs>
          <w:tab w:val="center" w:pos="5797"/>
          <w:tab w:val="right" w:pos="6521"/>
        </w:tabs>
        <w:spacing w:after="120" w:line="240" w:lineRule="auto"/>
        <w:ind w:firstLine="567"/>
        <w:jc w:val="both"/>
        <w:rPr>
          <w:rFonts w:ascii="Times New Roman" w:hAnsi="Times New Roman"/>
          <w:sz w:val="28"/>
          <w:szCs w:val="28"/>
        </w:rPr>
      </w:pPr>
      <w:r w:rsidRPr="00E119F2">
        <w:rPr>
          <w:rFonts w:ascii="Times New Roman" w:hAnsi="Times New Roman"/>
          <w:bCs/>
          <w:sz w:val="28"/>
          <w:szCs w:val="28"/>
        </w:rPr>
        <w:t>- Vốn còn lạ</w:t>
      </w:r>
      <w:r w:rsidR="003142A7">
        <w:rPr>
          <w:rFonts w:ascii="Times New Roman" w:hAnsi="Times New Roman"/>
          <w:bCs/>
          <w:sz w:val="28"/>
          <w:szCs w:val="28"/>
        </w:rPr>
        <w:t xml:space="preserve">i </w:t>
      </w:r>
      <w:r w:rsidRPr="00E119F2">
        <w:rPr>
          <w:rFonts w:ascii="Times New Roman" w:hAnsi="Times New Roman"/>
          <w:bCs/>
          <w:sz w:val="28"/>
          <w:szCs w:val="28"/>
        </w:rPr>
        <w:t xml:space="preserve">hủy: </w:t>
      </w:r>
      <w:r w:rsidRPr="00E119F2">
        <w:rPr>
          <w:rFonts w:ascii="Times New Roman" w:hAnsi="Times New Roman"/>
          <w:sz w:val="28"/>
          <w:szCs w:val="28"/>
        </w:rPr>
        <w:t>928.106.619 đồng</w:t>
      </w:r>
    </w:p>
    <w:p w:rsidR="0000153B" w:rsidRPr="00E119F2" w:rsidRDefault="0000153B" w:rsidP="00E119F2">
      <w:pPr>
        <w:tabs>
          <w:tab w:val="center" w:pos="5797"/>
          <w:tab w:val="right" w:pos="6521"/>
        </w:tabs>
        <w:spacing w:after="120" w:line="240" w:lineRule="auto"/>
        <w:ind w:firstLine="567"/>
        <w:jc w:val="both"/>
        <w:rPr>
          <w:rFonts w:ascii="Times New Roman" w:hAnsi="Times New Roman"/>
          <w:i/>
          <w:sz w:val="28"/>
          <w:szCs w:val="28"/>
        </w:rPr>
      </w:pPr>
      <w:r w:rsidRPr="00E119F2">
        <w:rPr>
          <w:rFonts w:ascii="Times New Roman" w:hAnsi="Times New Roman"/>
          <w:i/>
          <w:sz w:val="28"/>
          <w:szCs w:val="28"/>
        </w:rPr>
        <w:t>(Biểu mẫu công khai kèm theo)</w:t>
      </w:r>
    </w:p>
    <w:p w:rsidR="0000153B" w:rsidRPr="00E119F2" w:rsidRDefault="0000153B" w:rsidP="00E119F2">
      <w:pPr>
        <w:tabs>
          <w:tab w:val="center" w:pos="5797"/>
          <w:tab w:val="right" w:pos="6521"/>
        </w:tabs>
        <w:spacing w:after="120" w:line="240" w:lineRule="auto"/>
        <w:ind w:firstLine="567"/>
        <w:jc w:val="both"/>
        <w:rPr>
          <w:rFonts w:ascii="Times New Roman" w:hAnsi="Times New Roman"/>
          <w:sz w:val="28"/>
          <w:szCs w:val="28"/>
        </w:rPr>
      </w:pPr>
      <w:r w:rsidRPr="00E119F2">
        <w:rPr>
          <w:rFonts w:ascii="Times New Roman" w:hAnsi="Times New Roman"/>
          <w:sz w:val="28"/>
          <w:szCs w:val="28"/>
        </w:rPr>
        <w:t xml:space="preserve">Dự án Bảo vệ và phát triển rừng Vườn quốc gia Lò Gò - Xa Mát giai đoạn 2011-2020, do được kéo dài thời gian thực hiện đến năm 2021 mới kết thúc nên </w:t>
      </w:r>
      <w:r w:rsidR="003142A7">
        <w:rPr>
          <w:rFonts w:ascii="Times New Roman" w:hAnsi="Times New Roman"/>
          <w:sz w:val="28"/>
          <w:szCs w:val="28"/>
        </w:rPr>
        <w:t xml:space="preserve">bước sang </w:t>
      </w:r>
      <w:r w:rsidR="003142A7">
        <w:rPr>
          <w:rFonts w:ascii="Times New Roman" w:hAnsi="Times New Roman"/>
          <w:sz w:val="28"/>
          <w:szCs w:val="28"/>
        </w:rPr>
        <w:lastRenderedPageBreak/>
        <w:t xml:space="preserve">năm 2022 </w:t>
      </w:r>
      <w:r w:rsidRPr="00E119F2">
        <w:rPr>
          <w:rFonts w:ascii="Times New Roman" w:hAnsi="Times New Roman"/>
          <w:sz w:val="28"/>
          <w:szCs w:val="28"/>
        </w:rPr>
        <w:t xml:space="preserve">Ban quản lý Vườn quốc gia Lò Gò - Xa Mát </w:t>
      </w:r>
      <w:r w:rsidR="003142A7">
        <w:rPr>
          <w:rFonts w:ascii="Times New Roman" w:hAnsi="Times New Roman"/>
          <w:sz w:val="28"/>
          <w:szCs w:val="28"/>
        </w:rPr>
        <w:t xml:space="preserve">đang tiến hành làm các hồ sơ </w:t>
      </w:r>
      <w:r w:rsidRPr="00E119F2">
        <w:rPr>
          <w:rFonts w:ascii="Times New Roman" w:hAnsi="Times New Roman"/>
          <w:sz w:val="28"/>
          <w:szCs w:val="28"/>
        </w:rPr>
        <w:t>Báo cáo quyết toán dự</w:t>
      </w:r>
      <w:r w:rsidR="003142A7">
        <w:rPr>
          <w:rFonts w:ascii="Times New Roman" w:hAnsi="Times New Roman"/>
          <w:sz w:val="28"/>
          <w:szCs w:val="28"/>
        </w:rPr>
        <w:t xml:space="preserve"> án hoàn thành dự án. </w:t>
      </w:r>
    </w:p>
    <w:p w:rsidR="0000153B" w:rsidRPr="00E119F2" w:rsidRDefault="0000153B" w:rsidP="00E119F2">
      <w:pPr>
        <w:tabs>
          <w:tab w:val="center" w:pos="5797"/>
          <w:tab w:val="right" w:pos="6521"/>
        </w:tabs>
        <w:spacing w:after="120" w:line="240" w:lineRule="auto"/>
        <w:ind w:firstLine="567"/>
        <w:jc w:val="both"/>
        <w:rPr>
          <w:rFonts w:ascii="Times New Roman" w:hAnsi="Times New Roman"/>
          <w:sz w:val="28"/>
          <w:szCs w:val="28"/>
        </w:rPr>
      </w:pPr>
      <w:r w:rsidRPr="00E119F2">
        <w:rPr>
          <w:rFonts w:ascii="Times New Roman" w:hAnsi="Times New Roman"/>
          <w:sz w:val="28"/>
          <w:szCs w:val="28"/>
        </w:rPr>
        <w:t>Nhận xét:</w:t>
      </w:r>
    </w:p>
    <w:p w:rsidR="0000153B" w:rsidRPr="00E119F2" w:rsidRDefault="0000153B" w:rsidP="00E119F2">
      <w:pPr>
        <w:spacing w:after="120" w:line="240" w:lineRule="auto"/>
        <w:ind w:firstLine="567"/>
        <w:rPr>
          <w:rFonts w:ascii="Times New Roman" w:hAnsi="Times New Roman"/>
          <w:sz w:val="28"/>
          <w:szCs w:val="28"/>
          <w:lang w:val="nl-NL"/>
        </w:rPr>
      </w:pPr>
      <w:r w:rsidRPr="00E119F2">
        <w:rPr>
          <w:rFonts w:ascii="Times New Roman" w:hAnsi="Times New Roman"/>
          <w:sz w:val="28"/>
          <w:szCs w:val="28"/>
          <w:lang w:val="nl-NL"/>
        </w:rPr>
        <w:t>- Số dự án đã công khai: 02 dự án.</w:t>
      </w:r>
    </w:p>
    <w:p w:rsidR="0000153B" w:rsidRPr="00E119F2" w:rsidRDefault="0000153B" w:rsidP="00E119F2">
      <w:pPr>
        <w:spacing w:after="120" w:line="240" w:lineRule="auto"/>
        <w:ind w:firstLine="567"/>
        <w:rPr>
          <w:rFonts w:ascii="Times New Roman" w:hAnsi="Times New Roman"/>
          <w:sz w:val="28"/>
          <w:szCs w:val="28"/>
          <w:lang w:val="nl-NL"/>
        </w:rPr>
      </w:pPr>
      <w:r w:rsidRPr="00E119F2">
        <w:rPr>
          <w:rFonts w:ascii="Times New Roman" w:hAnsi="Times New Roman"/>
          <w:sz w:val="28"/>
          <w:szCs w:val="28"/>
          <w:lang w:val="nl-NL"/>
        </w:rPr>
        <w:t>- Số dự án chưa công khai: 0 dự án.</w:t>
      </w:r>
    </w:p>
    <w:p w:rsidR="0000153B" w:rsidRPr="003142A7" w:rsidRDefault="003142A7" w:rsidP="00E119F2">
      <w:pPr>
        <w:tabs>
          <w:tab w:val="center" w:pos="5797"/>
          <w:tab w:val="right" w:pos="6521"/>
        </w:tabs>
        <w:spacing w:after="120" w:line="240" w:lineRule="auto"/>
        <w:ind w:firstLine="567"/>
        <w:jc w:val="both"/>
        <w:rPr>
          <w:rFonts w:ascii="Times New Roman" w:hAnsi="Times New Roman"/>
          <w:sz w:val="28"/>
          <w:szCs w:val="28"/>
          <w:lang w:val="nl-NL"/>
        </w:rPr>
      </w:pPr>
      <w:r>
        <w:rPr>
          <w:rFonts w:ascii="Times New Roman" w:hAnsi="Times New Roman"/>
          <w:sz w:val="28"/>
          <w:szCs w:val="28"/>
          <w:lang w:val="nl-NL"/>
        </w:rPr>
        <w:t xml:space="preserve">- </w:t>
      </w:r>
      <w:r w:rsidR="0000153B" w:rsidRPr="003142A7">
        <w:rPr>
          <w:rFonts w:ascii="Times New Roman" w:hAnsi="Times New Roman"/>
          <w:sz w:val="28"/>
          <w:szCs w:val="28"/>
          <w:lang w:val="nl-NL"/>
        </w:rPr>
        <w:t>Nội dung công khai: đúng quy định tại Thông tư số 10/2005/TT-BTC, ngày 02/02/2005 của Bộ Tài chính.</w:t>
      </w:r>
    </w:p>
    <w:p w:rsidR="0000153B" w:rsidRPr="003142A7" w:rsidRDefault="0000153B" w:rsidP="00E119F2">
      <w:pPr>
        <w:tabs>
          <w:tab w:val="center" w:pos="5797"/>
          <w:tab w:val="right" w:pos="6521"/>
        </w:tabs>
        <w:spacing w:after="120" w:line="240" w:lineRule="auto"/>
        <w:ind w:firstLine="567"/>
        <w:jc w:val="both"/>
        <w:rPr>
          <w:rFonts w:ascii="Times New Roman" w:hAnsi="Times New Roman"/>
          <w:sz w:val="28"/>
          <w:szCs w:val="28"/>
          <w:lang w:val="nl-NL"/>
        </w:rPr>
      </w:pPr>
      <w:r w:rsidRPr="003142A7">
        <w:rPr>
          <w:rFonts w:ascii="Times New Roman" w:hAnsi="Times New Roman"/>
          <w:sz w:val="28"/>
          <w:szCs w:val="28"/>
          <w:lang w:val="nl-NL"/>
        </w:rPr>
        <w:t>- Hình thức công khai: niêm yết tại trụ sở cơ quan và trong hội nghị cán bộ công chức viên chức.</w:t>
      </w:r>
    </w:p>
    <w:p w:rsidR="0000153B" w:rsidRPr="003142A7" w:rsidRDefault="0000153B" w:rsidP="00E119F2">
      <w:pPr>
        <w:tabs>
          <w:tab w:val="center" w:pos="5797"/>
          <w:tab w:val="right" w:pos="6521"/>
        </w:tabs>
        <w:spacing w:after="120" w:line="240" w:lineRule="auto"/>
        <w:ind w:firstLine="567"/>
        <w:jc w:val="both"/>
        <w:rPr>
          <w:rFonts w:ascii="Times New Roman" w:hAnsi="Times New Roman"/>
          <w:sz w:val="28"/>
          <w:szCs w:val="28"/>
          <w:lang w:val="nl-NL"/>
        </w:rPr>
      </w:pPr>
      <w:r w:rsidRPr="003142A7">
        <w:rPr>
          <w:rFonts w:ascii="Times New Roman" w:hAnsi="Times New Roman"/>
          <w:sz w:val="28"/>
          <w:szCs w:val="28"/>
          <w:lang w:val="nl-NL"/>
        </w:rPr>
        <w:t>- Thời điểm công khai: đúng quy định tại Thông tư số 10/2005/TT-BTC ngày 02/02/2005 của Bộ Tài chính.</w:t>
      </w:r>
    </w:p>
    <w:p w:rsidR="0000153B" w:rsidRPr="003142A7" w:rsidRDefault="0000153B" w:rsidP="00E119F2">
      <w:pPr>
        <w:tabs>
          <w:tab w:val="center" w:pos="5797"/>
          <w:tab w:val="right" w:pos="6521"/>
        </w:tabs>
        <w:spacing w:after="120" w:line="240" w:lineRule="auto"/>
        <w:ind w:firstLine="567"/>
        <w:jc w:val="both"/>
        <w:rPr>
          <w:rFonts w:ascii="Times New Roman" w:hAnsi="Times New Roman"/>
          <w:sz w:val="28"/>
          <w:szCs w:val="28"/>
          <w:lang w:val="nl-NL"/>
        </w:rPr>
      </w:pPr>
      <w:r w:rsidRPr="003142A7">
        <w:rPr>
          <w:rFonts w:ascii="Times New Roman" w:hAnsi="Times New Roman"/>
          <w:sz w:val="28"/>
          <w:szCs w:val="28"/>
          <w:lang w:val="nl-NL"/>
        </w:rPr>
        <w:t>- Theo quy định tại Thông tư số 10/2005/TT-BTC, ngày 02/02/2005 của Bộ Tài chính về việc hướng dẫn thực hiện quy chế công khai tài chính đối với việc phân bổ, quản lý sử dụng vốn đầu tư xây dựng cơ bản thuộc nguồn vốn ngân sách nhà nước đơn vị phải báo cáo các biểu 01/CKTC-ĐTXD (do chưa được phân khai kế hoạch vốn nên đơn vị không có số liệu báo cáo); biểu 02/CKTC-ĐTXD; 04/CKTC-ĐTXD, đơn vị không có số liệu phát sinh nên đơn vị chỉ báo theo biểu 03/CKTC-ĐTXD.</w:t>
      </w:r>
    </w:p>
    <w:p w:rsidR="0000153B" w:rsidRPr="003142A7" w:rsidRDefault="0000153B" w:rsidP="00E119F2">
      <w:pPr>
        <w:spacing w:after="120" w:line="240" w:lineRule="auto"/>
        <w:ind w:firstLine="567"/>
        <w:jc w:val="both"/>
        <w:textAlignment w:val="top"/>
        <w:rPr>
          <w:rFonts w:ascii="Times New Roman" w:hAnsi="Times New Roman"/>
          <w:sz w:val="28"/>
          <w:szCs w:val="28"/>
          <w:lang w:val="nl-NL"/>
        </w:rPr>
      </w:pPr>
      <w:r w:rsidRPr="003142A7">
        <w:rPr>
          <w:rFonts w:ascii="Times New Roman" w:hAnsi="Times New Roman"/>
          <w:sz w:val="28"/>
          <w:szCs w:val="28"/>
          <w:lang w:val="nl-NL"/>
        </w:rPr>
        <w:t xml:space="preserve">Trên đây là </w:t>
      </w:r>
      <w:r w:rsidRPr="003142A7">
        <w:rPr>
          <w:rFonts w:ascii="Times New Roman" w:hAnsi="Times New Roman"/>
          <w:bCs/>
          <w:color w:val="000000"/>
          <w:sz w:val="28"/>
          <w:szCs w:val="28"/>
          <w:lang w:val="nl-NL"/>
        </w:rPr>
        <w:t xml:space="preserve">báo cáo </w:t>
      </w:r>
      <w:r w:rsidRPr="003142A7">
        <w:rPr>
          <w:rFonts w:ascii="Times New Roman" w:hAnsi="Times New Roman"/>
          <w:sz w:val="28"/>
          <w:szCs w:val="28"/>
          <w:lang w:val="nl-NL"/>
        </w:rPr>
        <w:t>công khai tài chính các dự án đầu tư xây dựng cơ bản có sử dụng vốn ngân sách nhà nướ</w:t>
      </w:r>
      <w:r w:rsidR="00C374E0">
        <w:rPr>
          <w:rFonts w:ascii="Times New Roman" w:hAnsi="Times New Roman"/>
          <w:sz w:val="28"/>
          <w:szCs w:val="28"/>
          <w:lang w:val="nl-NL"/>
        </w:rPr>
        <w:t>c năm 2020</w:t>
      </w:r>
      <w:r w:rsidRPr="003142A7">
        <w:rPr>
          <w:rFonts w:ascii="Times New Roman" w:hAnsi="Times New Roman"/>
          <w:sz w:val="28"/>
          <w:szCs w:val="28"/>
          <w:lang w:val="nl-NL"/>
        </w:rPr>
        <w:t xml:space="preserve"> của Ban quản lý Vườn quốc gia Lò Gò - Xa Mát./.</w:t>
      </w:r>
    </w:p>
    <w:p w:rsidR="005B4E8E" w:rsidRDefault="00622DA9" w:rsidP="00622DA9">
      <w:pPr>
        <w:tabs>
          <w:tab w:val="center" w:pos="7230"/>
        </w:tabs>
        <w:spacing w:after="0" w:line="240" w:lineRule="auto"/>
        <w:rPr>
          <w:rFonts w:ascii="Times New Roman" w:hAnsi="Times New Roman"/>
          <w:b/>
          <w:i/>
          <w:color w:val="000000"/>
          <w:sz w:val="24"/>
          <w:szCs w:val="24"/>
          <w:lang w:val="vi-VN"/>
        </w:rPr>
      </w:pPr>
      <w:r w:rsidRPr="003A6DDE">
        <w:rPr>
          <w:rFonts w:ascii="Times New Roman" w:hAnsi="Times New Roman"/>
          <w:b/>
          <w:i/>
          <w:color w:val="000000"/>
          <w:sz w:val="24"/>
          <w:szCs w:val="24"/>
          <w:lang w:val="vi-VN"/>
        </w:rPr>
        <w:t>Nơi nhận:</w:t>
      </w:r>
    </w:p>
    <w:p w:rsidR="00622DA9" w:rsidRPr="00A31B7A" w:rsidRDefault="005B4E8E" w:rsidP="00622DA9">
      <w:pPr>
        <w:tabs>
          <w:tab w:val="center" w:pos="7230"/>
        </w:tabs>
        <w:spacing w:after="0" w:line="240" w:lineRule="auto"/>
        <w:rPr>
          <w:rFonts w:ascii="Times New Roman" w:hAnsi="Times New Roman"/>
          <w:b/>
          <w:color w:val="000000"/>
          <w:sz w:val="26"/>
          <w:szCs w:val="26"/>
          <w:lang w:val="vi-VN"/>
        </w:rPr>
      </w:pPr>
      <w:r w:rsidRPr="00F01C5D">
        <w:rPr>
          <w:rFonts w:ascii="Times New Roman" w:hAnsi="Times New Roman"/>
          <w:lang w:val="vi-VN"/>
        </w:rPr>
        <w:t xml:space="preserve">- Sở </w:t>
      </w:r>
      <w:r w:rsidR="00E119F2" w:rsidRPr="003142A7">
        <w:rPr>
          <w:rFonts w:ascii="Times New Roman" w:hAnsi="Times New Roman"/>
          <w:lang w:val="nl-NL"/>
        </w:rPr>
        <w:t>Tài Chính</w:t>
      </w:r>
      <w:r w:rsidRPr="003142A7">
        <w:rPr>
          <w:rFonts w:ascii="Times New Roman" w:hAnsi="Times New Roman"/>
          <w:color w:val="000000"/>
          <w:lang w:val="nl-NL"/>
        </w:rPr>
        <w:t>;</w:t>
      </w:r>
      <w:r w:rsidR="00622DA9" w:rsidRPr="003A6DDE">
        <w:rPr>
          <w:rFonts w:ascii="Times New Roman" w:hAnsi="Times New Roman"/>
          <w:color w:val="000000"/>
          <w:sz w:val="26"/>
          <w:szCs w:val="26"/>
          <w:lang w:val="vi-VN"/>
        </w:rPr>
        <w:tab/>
        <w:t xml:space="preserve">   </w:t>
      </w:r>
      <w:r w:rsidR="00622DA9" w:rsidRPr="003142A7">
        <w:rPr>
          <w:rFonts w:ascii="Times New Roman" w:hAnsi="Times New Roman"/>
          <w:color w:val="000000"/>
          <w:sz w:val="26"/>
          <w:szCs w:val="26"/>
          <w:lang w:val="nl-NL"/>
        </w:rPr>
        <w:t xml:space="preserve"> </w:t>
      </w:r>
      <w:r w:rsidR="00622DA9" w:rsidRPr="003142A7">
        <w:rPr>
          <w:rFonts w:ascii="Times New Roman" w:hAnsi="Times New Roman"/>
          <w:b/>
          <w:color w:val="000000"/>
          <w:sz w:val="28"/>
          <w:szCs w:val="28"/>
          <w:lang w:val="nl-NL"/>
        </w:rPr>
        <w:t>KT.</w:t>
      </w:r>
      <w:r w:rsidR="00622DA9" w:rsidRPr="00215C90">
        <w:rPr>
          <w:rFonts w:ascii="Times New Roman" w:hAnsi="Times New Roman"/>
          <w:b/>
          <w:color w:val="000000"/>
          <w:sz w:val="28"/>
          <w:szCs w:val="28"/>
          <w:lang w:val="vi-VN"/>
        </w:rPr>
        <w:t>GIÁM ĐỐC</w:t>
      </w:r>
    </w:p>
    <w:p w:rsidR="00622DA9" w:rsidRPr="005924C5" w:rsidRDefault="00F01C5D" w:rsidP="00622DA9">
      <w:pPr>
        <w:tabs>
          <w:tab w:val="center" w:pos="7230"/>
        </w:tabs>
        <w:spacing w:after="0" w:line="240" w:lineRule="auto"/>
        <w:rPr>
          <w:rFonts w:ascii="Times New Roman" w:hAnsi="Times New Roman"/>
          <w:b/>
          <w:color w:val="000000"/>
          <w:lang w:val="sv-SE"/>
        </w:rPr>
      </w:pPr>
      <w:r w:rsidRPr="00F01C5D">
        <w:rPr>
          <w:rFonts w:ascii="Times New Roman" w:hAnsi="Times New Roman"/>
          <w:lang w:val="vi-VN"/>
        </w:rPr>
        <w:t xml:space="preserve">- </w:t>
      </w:r>
      <w:r w:rsidR="00E119F2" w:rsidRPr="003142A7">
        <w:rPr>
          <w:rFonts w:ascii="Times New Roman" w:hAnsi="Times New Roman"/>
          <w:lang w:val="nl-NL"/>
        </w:rPr>
        <w:t xml:space="preserve">Ban </w:t>
      </w:r>
      <w:r w:rsidR="00E119F2" w:rsidRPr="003142A7">
        <w:rPr>
          <w:rFonts w:ascii="Times New Roman" w:hAnsi="Times New Roman"/>
          <w:color w:val="000000"/>
          <w:lang w:val="nl-NL"/>
        </w:rPr>
        <w:t>Giám đốc</w:t>
      </w:r>
      <w:r w:rsidR="00E119F2" w:rsidRPr="003A6DDE">
        <w:rPr>
          <w:rFonts w:ascii="Times New Roman" w:hAnsi="Times New Roman"/>
          <w:color w:val="000000"/>
          <w:lang w:val="vi-VN"/>
        </w:rPr>
        <w:t>;</w:t>
      </w:r>
      <w:r w:rsidR="00622DA9" w:rsidRPr="003A6DDE">
        <w:rPr>
          <w:rFonts w:ascii="Times New Roman" w:hAnsi="Times New Roman"/>
          <w:color w:val="000000"/>
          <w:lang w:val="sv-SE"/>
        </w:rPr>
        <w:t xml:space="preserve">      </w:t>
      </w:r>
      <w:r w:rsidR="00622DA9">
        <w:rPr>
          <w:rFonts w:ascii="Times New Roman" w:hAnsi="Times New Roman"/>
          <w:color w:val="000000"/>
          <w:lang w:val="sv-SE"/>
        </w:rPr>
        <w:t xml:space="preserve">                                                    </w:t>
      </w:r>
      <w:r w:rsidR="005B4E8E">
        <w:rPr>
          <w:rFonts w:ascii="Times New Roman" w:hAnsi="Times New Roman"/>
          <w:color w:val="000000"/>
          <w:lang w:val="sv-SE"/>
        </w:rPr>
        <w:t xml:space="preserve">                             </w:t>
      </w:r>
      <w:bookmarkStart w:id="0" w:name="_GoBack"/>
      <w:bookmarkEnd w:id="0"/>
      <w:r w:rsidR="00622DA9" w:rsidRPr="00215C90">
        <w:rPr>
          <w:rFonts w:ascii="Times New Roman" w:hAnsi="Times New Roman"/>
          <w:b/>
          <w:color w:val="000000"/>
          <w:sz w:val="28"/>
          <w:szCs w:val="28"/>
          <w:lang w:val="sv-SE"/>
        </w:rPr>
        <w:t>PHÓ GIÁM ĐỐC</w:t>
      </w:r>
      <w:r w:rsidR="00622DA9" w:rsidRPr="00215C90">
        <w:rPr>
          <w:rFonts w:ascii="Times New Roman" w:hAnsi="Times New Roman"/>
          <w:b/>
          <w:color w:val="000000"/>
          <w:sz w:val="28"/>
          <w:szCs w:val="28"/>
          <w:lang w:val="sv-SE"/>
        </w:rPr>
        <w:tab/>
      </w:r>
      <w:r w:rsidR="00622DA9" w:rsidRPr="003A6DDE">
        <w:rPr>
          <w:rFonts w:ascii="Times New Roman" w:hAnsi="Times New Roman"/>
          <w:color w:val="000000"/>
          <w:lang w:val="vi-VN"/>
        </w:rPr>
        <w:t xml:space="preserve"> </w:t>
      </w:r>
      <w:r w:rsidR="00622DA9" w:rsidRPr="003142A7">
        <w:rPr>
          <w:rFonts w:ascii="Times New Roman" w:hAnsi="Times New Roman"/>
          <w:color w:val="000000"/>
          <w:lang w:val="nl-NL"/>
        </w:rPr>
        <w:t xml:space="preserve">  </w:t>
      </w:r>
      <w:r w:rsidR="00622DA9" w:rsidRPr="003A6DDE">
        <w:rPr>
          <w:rFonts w:ascii="Times New Roman" w:hAnsi="Times New Roman"/>
          <w:color w:val="000000"/>
          <w:lang w:val="vi-VN"/>
        </w:rPr>
        <w:t xml:space="preserve">  </w:t>
      </w:r>
      <w:r w:rsidR="00622DA9" w:rsidRPr="003142A7">
        <w:rPr>
          <w:rFonts w:ascii="Times New Roman" w:hAnsi="Times New Roman"/>
          <w:color w:val="000000"/>
          <w:lang w:val="nl-NL"/>
        </w:rPr>
        <w:t xml:space="preserve">  </w:t>
      </w:r>
    </w:p>
    <w:p w:rsidR="00622DA9" w:rsidRPr="003A6DDE" w:rsidRDefault="00622DA9" w:rsidP="00622DA9">
      <w:pPr>
        <w:spacing w:after="0" w:line="240" w:lineRule="auto"/>
        <w:rPr>
          <w:rFonts w:ascii="Times New Roman" w:hAnsi="Times New Roman"/>
          <w:color w:val="000000"/>
          <w:lang w:val="vi-VN"/>
        </w:rPr>
      </w:pPr>
      <w:r w:rsidRPr="003A6DDE">
        <w:rPr>
          <w:rFonts w:ascii="Times New Roman" w:hAnsi="Times New Roman"/>
          <w:color w:val="000000"/>
          <w:lang w:val="vi-VN"/>
        </w:rPr>
        <w:t>- Lưu: VT, KH-TC.</w:t>
      </w:r>
    </w:p>
    <w:p w:rsidR="00622DA9" w:rsidRPr="003A6DDE" w:rsidRDefault="00622DA9" w:rsidP="00622DA9">
      <w:pPr>
        <w:spacing w:after="0" w:line="240" w:lineRule="auto"/>
        <w:rPr>
          <w:rFonts w:ascii="Times New Roman" w:hAnsi="Times New Roman"/>
          <w:color w:val="000000"/>
          <w:sz w:val="26"/>
          <w:szCs w:val="26"/>
          <w:lang w:val="vi-VN"/>
        </w:rPr>
      </w:pPr>
    </w:p>
    <w:p w:rsidR="00434D27" w:rsidRPr="0049371E" w:rsidRDefault="00434D27" w:rsidP="00622DA9">
      <w:pPr>
        <w:spacing w:before="60" w:after="60"/>
        <w:jc w:val="center"/>
        <w:rPr>
          <w:rFonts w:ascii="Times New Roman" w:hAnsi="Times New Roman"/>
        </w:rPr>
      </w:pPr>
    </w:p>
    <w:sectPr w:rsidR="00434D27" w:rsidRPr="0049371E" w:rsidSect="00E15102">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pgSz w:w="12240" w:h="15840"/>
      <w:pgMar w:top="1276" w:right="900" w:bottom="993" w:left="1418" w:header="720" w:footer="7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63A" w:rsidRDefault="009A163A">
      <w:pPr>
        <w:spacing w:after="0" w:line="240" w:lineRule="auto"/>
      </w:pPr>
      <w:r>
        <w:separator/>
      </w:r>
    </w:p>
  </w:endnote>
  <w:endnote w:type="continuationSeparator" w:id="0">
    <w:p w:rsidR="009A163A" w:rsidRDefault="009A1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C374E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C374E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C374E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63A" w:rsidRDefault="009A163A">
      <w:pPr>
        <w:spacing w:after="0" w:line="240" w:lineRule="auto"/>
      </w:pPr>
      <w:r>
        <w:separator/>
      </w:r>
    </w:p>
  </w:footnote>
  <w:footnote w:type="continuationSeparator" w:id="0">
    <w:p w:rsidR="009A163A" w:rsidRDefault="009A1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C374E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94431C">
    <w:pPr>
      <w:pStyle w:val="Header"/>
      <w:jc w:val="center"/>
    </w:pPr>
    <w:r>
      <w:fldChar w:fldCharType="begin"/>
    </w:r>
    <w:r>
      <w:instrText xml:space="preserve"> PAGE   \* MERGEFORMAT </w:instrText>
    </w:r>
    <w:r>
      <w:fldChar w:fldCharType="separate"/>
    </w:r>
    <w:r w:rsidR="00C374E0">
      <w:rPr>
        <w:noProof/>
      </w:rPr>
      <w:t>2</w:t>
    </w:r>
    <w:r>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C374E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461A"/>
    <w:multiLevelType w:val="hybridMultilevel"/>
    <w:tmpl w:val="5876352E"/>
    <w:lvl w:ilvl="0" w:tplc="53B4B8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51671342"/>
    <w:multiLevelType w:val="hybridMultilevel"/>
    <w:tmpl w:val="4F062942"/>
    <w:lvl w:ilvl="0" w:tplc="073AAB2C">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5E7D23E8"/>
    <w:multiLevelType w:val="hybridMultilevel"/>
    <w:tmpl w:val="BCFE1220"/>
    <w:lvl w:ilvl="0" w:tplc="10E223AA">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7D951602"/>
    <w:multiLevelType w:val="hybridMultilevel"/>
    <w:tmpl w:val="3A82070C"/>
    <w:lvl w:ilvl="0" w:tplc="E8E66604">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pos w:val="beneathText"/>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C3A"/>
    <w:rsid w:val="0000153B"/>
    <w:rsid w:val="000048C8"/>
    <w:rsid w:val="00095281"/>
    <w:rsid w:val="000A4A63"/>
    <w:rsid w:val="000B4723"/>
    <w:rsid w:val="00110200"/>
    <w:rsid w:val="00111F78"/>
    <w:rsid w:val="001132D1"/>
    <w:rsid w:val="001214B7"/>
    <w:rsid w:val="001366B7"/>
    <w:rsid w:val="00166ACF"/>
    <w:rsid w:val="00175394"/>
    <w:rsid w:val="001A35B1"/>
    <w:rsid w:val="001A5977"/>
    <w:rsid w:val="001D4D39"/>
    <w:rsid w:val="001D4F94"/>
    <w:rsid w:val="001D661F"/>
    <w:rsid w:val="001F431F"/>
    <w:rsid w:val="002258A6"/>
    <w:rsid w:val="0027232D"/>
    <w:rsid w:val="00285917"/>
    <w:rsid w:val="00294DF6"/>
    <w:rsid w:val="00296CE7"/>
    <w:rsid w:val="00297498"/>
    <w:rsid w:val="002B07C3"/>
    <w:rsid w:val="002D384F"/>
    <w:rsid w:val="002D6A02"/>
    <w:rsid w:val="003012B6"/>
    <w:rsid w:val="00310EDE"/>
    <w:rsid w:val="003142A7"/>
    <w:rsid w:val="00336B20"/>
    <w:rsid w:val="003520AC"/>
    <w:rsid w:val="003774CA"/>
    <w:rsid w:val="00394A64"/>
    <w:rsid w:val="003B543B"/>
    <w:rsid w:val="003C4B75"/>
    <w:rsid w:val="003D291D"/>
    <w:rsid w:val="003D737A"/>
    <w:rsid w:val="003E71E7"/>
    <w:rsid w:val="00400C43"/>
    <w:rsid w:val="00427663"/>
    <w:rsid w:val="00432193"/>
    <w:rsid w:val="00434D27"/>
    <w:rsid w:val="0043524B"/>
    <w:rsid w:val="004365B4"/>
    <w:rsid w:val="0049371E"/>
    <w:rsid w:val="004C09BD"/>
    <w:rsid w:val="004D644A"/>
    <w:rsid w:val="004E0BC9"/>
    <w:rsid w:val="0051366F"/>
    <w:rsid w:val="00520012"/>
    <w:rsid w:val="0053060F"/>
    <w:rsid w:val="00543021"/>
    <w:rsid w:val="005435A1"/>
    <w:rsid w:val="0056223B"/>
    <w:rsid w:val="005632FD"/>
    <w:rsid w:val="005B4E8E"/>
    <w:rsid w:val="005D3E1D"/>
    <w:rsid w:val="005F0F72"/>
    <w:rsid w:val="005F5AC9"/>
    <w:rsid w:val="00600E8E"/>
    <w:rsid w:val="00604164"/>
    <w:rsid w:val="00620EA7"/>
    <w:rsid w:val="00622DA9"/>
    <w:rsid w:val="006246EF"/>
    <w:rsid w:val="00640AD4"/>
    <w:rsid w:val="00644270"/>
    <w:rsid w:val="00656C55"/>
    <w:rsid w:val="006664A6"/>
    <w:rsid w:val="006842CE"/>
    <w:rsid w:val="006A2E98"/>
    <w:rsid w:val="006E0FE9"/>
    <w:rsid w:val="006F30FB"/>
    <w:rsid w:val="0073036A"/>
    <w:rsid w:val="00762D50"/>
    <w:rsid w:val="007F34BF"/>
    <w:rsid w:val="008026DB"/>
    <w:rsid w:val="00804CFB"/>
    <w:rsid w:val="00823F61"/>
    <w:rsid w:val="008A42F3"/>
    <w:rsid w:val="008B7591"/>
    <w:rsid w:val="008C12DC"/>
    <w:rsid w:val="008E035A"/>
    <w:rsid w:val="008E6099"/>
    <w:rsid w:val="009105F9"/>
    <w:rsid w:val="00942FB2"/>
    <w:rsid w:val="0094431C"/>
    <w:rsid w:val="00974C3A"/>
    <w:rsid w:val="009832A0"/>
    <w:rsid w:val="009A163A"/>
    <w:rsid w:val="009A6396"/>
    <w:rsid w:val="009C2104"/>
    <w:rsid w:val="009C5E5E"/>
    <w:rsid w:val="009C7BE5"/>
    <w:rsid w:val="009E4FF7"/>
    <w:rsid w:val="00A52580"/>
    <w:rsid w:val="00A57F51"/>
    <w:rsid w:val="00A709A4"/>
    <w:rsid w:val="00A81A13"/>
    <w:rsid w:val="00AC45D5"/>
    <w:rsid w:val="00AD3B00"/>
    <w:rsid w:val="00B22D8A"/>
    <w:rsid w:val="00B51273"/>
    <w:rsid w:val="00B54EBA"/>
    <w:rsid w:val="00B84C15"/>
    <w:rsid w:val="00B9024E"/>
    <w:rsid w:val="00BC1848"/>
    <w:rsid w:val="00BE2080"/>
    <w:rsid w:val="00C05B2C"/>
    <w:rsid w:val="00C31415"/>
    <w:rsid w:val="00C374E0"/>
    <w:rsid w:val="00C412A8"/>
    <w:rsid w:val="00C439B4"/>
    <w:rsid w:val="00C442E7"/>
    <w:rsid w:val="00C50B75"/>
    <w:rsid w:val="00C76237"/>
    <w:rsid w:val="00CC0135"/>
    <w:rsid w:val="00CD2B72"/>
    <w:rsid w:val="00D051FF"/>
    <w:rsid w:val="00D12F4F"/>
    <w:rsid w:val="00D166A3"/>
    <w:rsid w:val="00D350FD"/>
    <w:rsid w:val="00D81938"/>
    <w:rsid w:val="00D94AF3"/>
    <w:rsid w:val="00DE0978"/>
    <w:rsid w:val="00E119F2"/>
    <w:rsid w:val="00E23E4A"/>
    <w:rsid w:val="00E269FF"/>
    <w:rsid w:val="00E2722D"/>
    <w:rsid w:val="00E36306"/>
    <w:rsid w:val="00E44D66"/>
    <w:rsid w:val="00E63635"/>
    <w:rsid w:val="00E700F3"/>
    <w:rsid w:val="00E71FDB"/>
    <w:rsid w:val="00E7596B"/>
    <w:rsid w:val="00E854CF"/>
    <w:rsid w:val="00E9232A"/>
    <w:rsid w:val="00EA2018"/>
    <w:rsid w:val="00EB6E53"/>
    <w:rsid w:val="00EC0474"/>
    <w:rsid w:val="00EC1A53"/>
    <w:rsid w:val="00ED3613"/>
    <w:rsid w:val="00EF002A"/>
    <w:rsid w:val="00F01C5D"/>
    <w:rsid w:val="00F46BA8"/>
    <w:rsid w:val="00F84416"/>
    <w:rsid w:val="00F84B16"/>
    <w:rsid w:val="00F97DDE"/>
    <w:rsid w:val="00FA0491"/>
    <w:rsid w:val="00FE5B62"/>
    <w:rsid w:val="00FF0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3CC7"/>
  <w15:docId w15:val="{4890F3AD-FA53-4AE2-B9E3-9AD5AF703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C3A"/>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974C3A"/>
    <w:pPr>
      <w:keepNext/>
      <w:spacing w:after="0" w:line="240" w:lineRule="auto"/>
      <w:ind w:firstLine="567"/>
      <w:jc w:val="center"/>
      <w:outlineLvl w:val="0"/>
    </w:pPr>
    <w:rPr>
      <w:rFonts w:ascii="VNI-Times" w:eastAsia="Times New Roman" w:hAnsi="VNI-Times"/>
      <w:b/>
      <w:sz w:val="40"/>
      <w:szCs w:val="2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4C3A"/>
    <w:rPr>
      <w:rFonts w:ascii="VNI-Times" w:eastAsia="Times New Roman" w:hAnsi="VNI-Times" w:cs="Times New Roman"/>
      <w:b/>
      <w:sz w:val="40"/>
      <w:szCs w:val="26"/>
      <w:lang w:val="vi-VN"/>
    </w:rPr>
  </w:style>
  <w:style w:type="paragraph" w:styleId="Header">
    <w:name w:val="header"/>
    <w:basedOn w:val="Normal"/>
    <w:link w:val="HeaderChar"/>
    <w:uiPriority w:val="99"/>
    <w:rsid w:val="00974C3A"/>
    <w:pPr>
      <w:tabs>
        <w:tab w:val="center" w:pos="4680"/>
        <w:tab w:val="right" w:pos="9360"/>
      </w:tabs>
    </w:pPr>
  </w:style>
  <w:style w:type="character" w:customStyle="1" w:styleId="HeaderChar">
    <w:name w:val="Header Char"/>
    <w:basedOn w:val="DefaultParagraphFont"/>
    <w:link w:val="Header"/>
    <w:uiPriority w:val="99"/>
    <w:rsid w:val="00974C3A"/>
    <w:rPr>
      <w:rFonts w:ascii="Calibri" w:eastAsia="Calibri" w:hAnsi="Calibri" w:cs="Times New Roman"/>
    </w:rPr>
  </w:style>
  <w:style w:type="paragraph" w:styleId="Footer">
    <w:name w:val="footer"/>
    <w:basedOn w:val="Normal"/>
    <w:link w:val="FooterChar"/>
    <w:uiPriority w:val="99"/>
    <w:rsid w:val="00974C3A"/>
    <w:pPr>
      <w:tabs>
        <w:tab w:val="center" w:pos="4680"/>
        <w:tab w:val="right" w:pos="9360"/>
      </w:tabs>
    </w:pPr>
  </w:style>
  <w:style w:type="character" w:customStyle="1" w:styleId="FooterChar">
    <w:name w:val="Footer Char"/>
    <w:basedOn w:val="DefaultParagraphFont"/>
    <w:link w:val="Footer"/>
    <w:uiPriority w:val="99"/>
    <w:rsid w:val="00974C3A"/>
    <w:rPr>
      <w:rFonts w:ascii="Calibri" w:eastAsia="Calibri" w:hAnsi="Calibri" w:cs="Times New Roman"/>
    </w:rPr>
  </w:style>
  <w:style w:type="paragraph" w:styleId="BodyText">
    <w:name w:val="Body Text"/>
    <w:basedOn w:val="Normal"/>
    <w:link w:val="BodyTextChar"/>
    <w:rsid w:val="00974C3A"/>
    <w:pPr>
      <w:spacing w:before="120" w:after="0" w:line="240" w:lineRule="auto"/>
      <w:jc w:val="both"/>
    </w:pPr>
    <w:rPr>
      <w:rFonts w:ascii="VNI-Times" w:eastAsia="Times New Roman" w:hAnsi="VNI-Times"/>
      <w:sz w:val="26"/>
      <w:szCs w:val="24"/>
      <w:lang w:val="vi-VN"/>
    </w:rPr>
  </w:style>
  <w:style w:type="character" w:customStyle="1" w:styleId="BodyTextChar">
    <w:name w:val="Body Text Char"/>
    <w:basedOn w:val="DefaultParagraphFont"/>
    <w:link w:val="BodyText"/>
    <w:rsid w:val="00974C3A"/>
    <w:rPr>
      <w:rFonts w:ascii="VNI-Times" w:eastAsia="Times New Roman" w:hAnsi="VNI-Times" w:cs="Times New Roman"/>
      <w:sz w:val="26"/>
      <w:szCs w:val="24"/>
      <w:lang w:val="vi-VN"/>
    </w:rPr>
  </w:style>
  <w:style w:type="paragraph" w:styleId="BodyTextIndent">
    <w:name w:val="Body Text Indent"/>
    <w:basedOn w:val="Normal"/>
    <w:link w:val="BodyTextIndentChar"/>
    <w:rsid w:val="00974C3A"/>
    <w:pPr>
      <w:spacing w:after="120"/>
      <w:ind w:left="360"/>
    </w:pPr>
  </w:style>
  <w:style w:type="character" w:customStyle="1" w:styleId="BodyTextIndentChar">
    <w:name w:val="Body Text Indent Char"/>
    <w:basedOn w:val="DefaultParagraphFont"/>
    <w:link w:val="BodyTextIndent"/>
    <w:rsid w:val="00974C3A"/>
    <w:rPr>
      <w:rFonts w:ascii="Calibri" w:eastAsia="Calibri" w:hAnsi="Calibri" w:cs="Times New Roman"/>
    </w:rPr>
  </w:style>
  <w:style w:type="character" w:customStyle="1" w:styleId="fontstyle01">
    <w:name w:val="fontstyle01"/>
    <w:rsid w:val="00974C3A"/>
    <w:rPr>
      <w:rFonts w:ascii="Times New Roman" w:hAnsi="Times New Roman" w:cs="Times New Roman" w:hint="default"/>
      <w:b/>
      <w:bCs/>
      <w:i w:val="0"/>
      <w:iCs w:val="0"/>
      <w:color w:val="000000"/>
      <w:sz w:val="28"/>
      <w:szCs w:val="28"/>
    </w:rPr>
  </w:style>
  <w:style w:type="character" w:styleId="Hyperlink">
    <w:name w:val="Hyperlink"/>
    <w:uiPriority w:val="99"/>
    <w:unhideWhenUsed/>
    <w:rsid w:val="004365B4"/>
    <w:rPr>
      <w:color w:val="0000FF"/>
      <w:u w:val="single"/>
    </w:rPr>
  </w:style>
  <w:style w:type="paragraph" w:styleId="ListParagraph">
    <w:name w:val="List Paragraph"/>
    <w:basedOn w:val="Normal"/>
    <w:uiPriority w:val="34"/>
    <w:qFormat/>
    <w:rsid w:val="00EC1A53"/>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3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78</cp:revision>
  <dcterms:created xsi:type="dcterms:W3CDTF">2022-01-18T02:19:00Z</dcterms:created>
  <dcterms:modified xsi:type="dcterms:W3CDTF">2022-03-31T02:39:00Z</dcterms:modified>
</cp:coreProperties>
</file>